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7: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“ICT Adaptation to the students’ characteristics” and the “Usage of School 2.0 program and its applications”</w:t>
      </w:r>
    </w:p>
    <w:p w:rsidR="000D3F7E" w:rsidRPr="00E931C9" w:rsidRDefault="000D3F7E" w:rsidP="000D3F7E">
      <w:pPr>
        <w:jc w:val="both"/>
        <w:rPr>
          <w:b/>
          <w:sz w:val="20"/>
          <w:szCs w:val="20"/>
        </w:rPr>
      </w:pPr>
      <w:r w:rsidRPr="00E931C9">
        <w:rPr>
          <w:sz w:val="20"/>
          <w:szCs w:val="20"/>
          <w:lang w:val="en-GB"/>
        </w:rPr>
        <w:t>Source: Own production</w:t>
      </w:r>
    </w:p>
    <w:tbl>
      <w:tblPr>
        <w:tblpPr w:leftFromText="141" w:rightFromText="141" w:vertAnchor="text" w:horzAnchor="margin" w:tblpY="132"/>
        <w:tblW w:w="4420" w:type="pct"/>
        <w:tblLayout w:type="fixed"/>
        <w:tblLook w:val="04A0" w:firstRow="1" w:lastRow="0" w:firstColumn="1" w:lastColumn="0" w:noHBand="0" w:noVBand="1"/>
      </w:tblPr>
      <w:tblGrid>
        <w:gridCol w:w="585"/>
        <w:gridCol w:w="1929"/>
        <w:gridCol w:w="567"/>
        <w:gridCol w:w="711"/>
        <w:gridCol w:w="871"/>
        <w:gridCol w:w="845"/>
        <w:gridCol w:w="846"/>
        <w:gridCol w:w="677"/>
        <w:gridCol w:w="677"/>
      </w:tblGrid>
      <w:tr w:rsidR="000D3F7E" w:rsidRPr="005E6F22" w:rsidTr="00D35B01">
        <w:tc>
          <w:tcPr>
            <w:tcW w:w="380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62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D3F7E" w:rsidRPr="005E6F22" w:rsidRDefault="000D3F7E" w:rsidP="00D35B0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5E6F22">
              <w:rPr>
                <w:b/>
                <w:sz w:val="12"/>
                <w:szCs w:val="12"/>
                <w:lang w:val="en-US"/>
              </w:rPr>
              <w:t>ICT ADAPTATION TO THE STUDENTS’ CHARACTERISTICS</w:t>
            </w:r>
          </w:p>
        </w:tc>
      </w:tr>
      <w:tr w:rsidR="000D3F7E" w:rsidRPr="005E6F22" w:rsidTr="00D35B01">
        <w:trPr>
          <w:cantSplit/>
          <w:trHeight w:val="2370"/>
        </w:trPr>
        <w:tc>
          <w:tcPr>
            <w:tcW w:w="380" w:type="pct"/>
            <w:shd w:val="clear" w:color="auto" w:fill="auto"/>
          </w:tcPr>
          <w:p w:rsidR="000D3F7E" w:rsidRPr="005E6F22" w:rsidRDefault="000D3F7E" w:rsidP="00D35B01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F7E" w:rsidRPr="005E6F22" w:rsidRDefault="000D3F7E" w:rsidP="00D35B01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3F7E" w:rsidRPr="005E6F22" w:rsidRDefault="000D3F7E" w:rsidP="00D35B01">
            <w:pPr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0D3F7E" w:rsidRPr="005E6F22" w:rsidRDefault="000D3F7E" w:rsidP="00D35B01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rStyle w:val="hps"/>
                <w:sz w:val="12"/>
                <w:szCs w:val="12"/>
                <w:lang w:val="en"/>
              </w:rPr>
              <w:t>To which extent you have specific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technological means</w:t>
            </w:r>
            <w:r w:rsidRPr="00E931C9">
              <w:rPr>
                <w:sz w:val="12"/>
                <w:szCs w:val="12"/>
                <w:lang w:val="en"/>
              </w:rPr>
              <w:t xml:space="preserve"> which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are helpful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and beneficial for subjects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0D3F7E" w:rsidRPr="00E931C9" w:rsidRDefault="000D3F7E" w:rsidP="00D35B01">
            <w:pPr>
              <w:jc w:val="center"/>
              <w:rPr>
                <w:sz w:val="12"/>
                <w:szCs w:val="12"/>
                <w:lang w:val="en"/>
              </w:rPr>
            </w:pPr>
            <w:r w:rsidRPr="00E931C9">
              <w:rPr>
                <w:sz w:val="12"/>
                <w:szCs w:val="12"/>
                <w:lang w:val="en"/>
              </w:rPr>
              <w:t xml:space="preserve">To which extent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technological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means that the center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has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to help to overcome</w:t>
            </w:r>
            <w:r w:rsidRPr="00E931C9">
              <w:rPr>
                <w:sz w:val="12"/>
                <w:szCs w:val="12"/>
                <w:lang w:val="en"/>
              </w:rPr>
              <w:t xml:space="preserve">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limitations that the cognitive</w:t>
            </w:r>
            <w:r w:rsidRPr="00E931C9">
              <w:rPr>
                <w:sz w:val="12"/>
                <w:szCs w:val="12"/>
                <w:lang w:val="en"/>
              </w:rPr>
              <w:t xml:space="preserve">, sensory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and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motored</w:t>
            </w:r>
            <w:r w:rsidRPr="00E931C9">
              <w:rPr>
                <w:sz w:val="12"/>
                <w:szCs w:val="12"/>
                <w:lang w:val="en"/>
              </w:rPr>
              <w:t xml:space="preserve"> deficits of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subjects present</w:t>
            </w:r>
          </w:p>
          <w:p w:rsidR="000D3F7E" w:rsidRPr="005E6F22" w:rsidRDefault="000D3F7E" w:rsidP="00D35B01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0D3F7E" w:rsidRPr="00E931C9" w:rsidRDefault="000D3F7E" w:rsidP="00D35B01">
            <w:pPr>
              <w:jc w:val="center"/>
              <w:rPr>
                <w:sz w:val="12"/>
                <w:szCs w:val="12"/>
                <w:lang w:val="en"/>
              </w:rPr>
            </w:pPr>
            <w:r w:rsidRPr="00E931C9">
              <w:rPr>
                <w:sz w:val="12"/>
                <w:szCs w:val="12"/>
                <w:lang w:val="en"/>
              </w:rPr>
              <w:t xml:space="preserve">To which degree your </w:t>
            </w:r>
            <w:proofErr w:type="spellStart"/>
            <w:r w:rsidRPr="00E931C9">
              <w:rPr>
                <w:sz w:val="12"/>
                <w:szCs w:val="12"/>
                <w:lang w:val="en"/>
              </w:rPr>
              <w:t>equipments</w:t>
            </w:r>
            <w:proofErr w:type="spellEnd"/>
            <w:r w:rsidRPr="00E931C9">
              <w:rPr>
                <w:sz w:val="12"/>
                <w:szCs w:val="12"/>
                <w:lang w:val="en"/>
              </w:rPr>
              <w:t xml:space="preserve"> and technological programs have keyboards specific for students with visual impairment and for those with mobility impairments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0D3F7E" w:rsidRPr="00E931C9" w:rsidRDefault="000D3F7E" w:rsidP="00D35B01">
            <w:pPr>
              <w:jc w:val="center"/>
              <w:rPr>
                <w:rStyle w:val="hps"/>
                <w:sz w:val="12"/>
                <w:szCs w:val="12"/>
                <w:lang w:val="en"/>
              </w:rPr>
            </w:pPr>
            <w:r w:rsidRPr="00E931C9">
              <w:rPr>
                <w:sz w:val="12"/>
                <w:szCs w:val="12"/>
                <w:lang w:val="en"/>
              </w:rPr>
              <w:t xml:space="preserve">To which extent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the technological resources that</w:t>
            </w:r>
            <w:r w:rsidRPr="00E931C9">
              <w:rPr>
                <w:sz w:val="12"/>
                <w:szCs w:val="12"/>
                <w:lang w:val="en"/>
              </w:rPr>
              <w:t xml:space="preserve"> the </w:t>
            </w:r>
            <w:r w:rsidRPr="00E931C9">
              <w:rPr>
                <w:rStyle w:val="hps"/>
                <w:sz w:val="12"/>
                <w:szCs w:val="12"/>
                <w:lang w:val="en"/>
              </w:rPr>
              <w:t>center possesses allow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to increase the volume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in order to overcome the hearing loss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of certain students</w:t>
            </w:r>
          </w:p>
          <w:p w:rsidR="000D3F7E" w:rsidRPr="005E6F22" w:rsidRDefault="000D3F7E" w:rsidP="00D35B01">
            <w:pPr>
              <w:ind w:left="113" w:right="113"/>
              <w:rPr>
                <w:sz w:val="12"/>
                <w:szCs w:val="12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bottom"/>
          </w:tcPr>
          <w:p w:rsidR="000D3F7E" w:rsidRPr="00E931C9" w:rsidRDefault="000D3F7E" w:rsidP="00D35B01">
            <w:pPr>
              <w:jc w:val="center"/>
              <w:rPr>
                <w:sz w:val="12"/>
                <w:szCs w:val="12"/>
                <w:lang w:val="en"/>
              </w:rPr>
            </w:pPr>
            <w:r w:rsidRPr="00E931C9">
              <w:rPr>
                <w:rStyle w:val="hps"/>
                <w:sz w:val="12"/>
                <w:szCs w:val="12"/>
                <w:lang w:val="en"/>
              </w:rPr>
              <w:t>To which extent the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center has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hardware and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software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adaptations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for students with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cognitive impairments</w:t>
            </w:r>
          </w:p>
          <w:p w:rsidR="000D3F7E" w:rsidRPr="005E6F22" w:rsidRDefault="000D3F7E" w:rsidP="00D35B01">
            <w:pPr>
              <w:ind w:left="113" w:right="113"/>
              <w:rPr>
                <w:sz w:val="12"/>
                <w:szCs w:val="12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0D3F7E" w:rsidRPr="005E6F22" w:rsidRDefault="000D3F7E" w:rsidP="00D35B01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  <w:r w:rsidRPr="00E931C9">
              <w:rPr>
                <w:rStyle w:val="hps"/>
                <w:sz w:val="12"/>
                <w:szCs w:val="12"/>
                <w:lang w:val="en"/>
              </w:rPr>
              <w:t>To which extent there is lack of Internet accessibility on the part of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their students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due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to the poor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adaptation of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Webs</w:t>
            </w:r>
            <w:r w:rsidRPr="00E931C9">
              <w:rPr>
                <w:sz w:val="12"/>
                <w:szCs w:val="12"/>
                <w:lang w:val="en"/>
              </w:rPr>
              <w:t xml:space="preserve"> </w:t>
            </w:r>
            <w:r w:rsidRPr="00E931C9">
              <w:rPr>
                <w:rStyle w:val="hps"/>
                <w:sz w:val="12"/>
                <w:szCs w:val="12"/>
                <w:lang w:val="en"/>
              </w:rPr>
              <w:t>sites</w:t>
            </w:r>
          </w:p>
        </w:tc>
      </w:tr>
      <w:tr w:rsidR="000D3F7E" w:rsidRPr="00E931C9" w:rsidTr="00D35B01">
        <w:trPr>
          <w:trHeight w:val="252"/>
        </w:trPr>
        <w:tc>
          <w:tcPr>
            <w:tcW w:w="380" w:type="pct"/>
            <w:vMerge w:val="restart"/>
            <w:shd w:val="clear" w:color="auto" w:fill="auto"/>
            <w:textDirection w:val="btLr"/>
          </w:tcPr>
          <w:p w:rsidR="000D3F7E" w:rsidRPr="005E6F22" w:rsidRDefault="000D3F7E" w:rsidP="00D35B01">
            <w:pPr>
              <w:ind w:left="113" w:right="113"/>
              <w:jc w:val="center"/>
              <w:rPr>
                <w:b/>
                <w:sz w:val="12"/>
                <w:szCs w:val="12"/>
                <w:lang w:val="en-US"/>
              </w:rPr>
            </w:pPr>
            <w:r w:rsidRPr="00E931C9">
              <w:rPr>
                <w:b/>
                <w:sz w:val="16"/>
                <w:szCs w:val="16"/>
                <w:lang w:val="en-GB"/>
              </w:rPr>
              <w:t>USAGE OF SCHOOL 2.0 PROGRAM AND ITS APPLICATIONS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To which extent you have integrated ICT in your daily teaching practice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0,748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0,490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0,577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0,722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0,542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</w:tr>
      <w:tr w:rsidR="000D3F7E" w:rsidRPr="00E931C9" w:rsidTr="00D35B01">
        <w:trPr>
          <w:trHeight w:val="315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0,146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0,402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0,423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0,168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0,346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</w:tr>
      <w:tr w:rsidR="000D3F7E" w:rsidRPr="00E931C9" w:rsidTr="00D35B01">
        <w:trPr>
          <w:trHeight w:val="248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 w:val="restart"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To which extent you use the whiteboard in your classes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a</w:t>
            </w:r>
          </w:p>
        </w:tc>
      </w:tr>
      <w:tr w:rsidR="000D3F7E" w:rsidRPr="00E931C9" w:rsidTr="00D35B01">
        <w:trPr>
          <w:trHeight w:val="182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.</w:t>
            </w:r>
          </w:p>
        </w:tc>
      </w:tr>
      <w:tr w:rsidR="000D3F7E" w:rsidRPr="00E931C9" w:rsidTr="00D35B01">
        <w:trPr>
          <w:trHeight w:val="323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 w:val="restart"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your students work individually from hardware devices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0,471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0,121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0,385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0,209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</w:tr>
      <w:tr w:rsidR="000D3F7E" w:rsidRPr="00E931C9" w:rsidTr="00D35B01">
        <w:trPr>
          <w:trHeight w:val="333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shd w:val="clear" w:color="auto" w:fill="auto"/>
            <w:vAlign w:val="bottom"/>
          </w:tcPr>
          <w:p w:rsidR="000D3F7E" w:rsidRPr="00E931C9" w:rsidRDefault="000D3F7E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0,423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0,846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0,522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0,736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</w:tr>
      <w:tr w:rsidR="000D3F7E" w:rsidRPr="00E931C9" w:rsidTr="00D35B01">
        <w:trPr>
          <w:trHeight w:val="410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 w:val="restart"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your students work in groups from hardware devices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0,471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0‘,121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0,385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0,209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</w:tr>
      <w:tr w:rsidR="000D3F7E" w:rsidRPr="00E931C9" w:rsidTr="00D35B01">
        <w:trPr>
          <w:trHeight w:val="246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0,423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0,846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0,522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0,736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</w:tr>
      <w:tr w:rsidR="000D3F7E" w:rsidRPr="00E931C9" w:rsidTr="00D35B01">
        <w:trPr>
          <w:trHeight w:val="321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 w:val="restart"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 use Internet connection in your classes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0,134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0,504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0,302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0,327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0,276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&lt;0,001</w:t>
            </w:r>
          </w:p>
        </w:tc>
      </w:tr>
      <w:tr w:rsidR="000D3F7E" w:rsidRPr="00E931C9" w:rsidTr="00D35B01">
        <w:trPr>
          <w:trHeight w:val="256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0,830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0,386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0,698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0,591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0,653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1,000</w:t>
            </w:r>
          </w:p>
        </w:tc>
      </w:tr>
      <w:tr w:rsidR="000D3F7E" w:rsidRPr="00E931C9" w:rsidTr="00D35B01">
        <w:trPr>
          <w:trHeight w:val="323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 w:val="restart"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 use educational software with your students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0,686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0,908</w:t>
            </w:r>
            <w:r w:rsidRPr="00E931C9">
              <w:rPr>
                <w:color w:val="000000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0,688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0,747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0,839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-0,658</w:t>
            </w:r>
          </w:p>
        </w:tc>
      </w:tr>
      <w:tr w:rsidR="000D3F7E" w:rsidRPr="00E931C9" w:rsidTr="00D35B01">
        <w:trPr>
          <w:trHeight w:val="251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2"/>
                <w:szCs w:val="12"/>
              </w:rPr>
            </w:pP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0,201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0,033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0,312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0,147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0,076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0,228</w:t>
            </w:r>
          </w:p>
        </w:tc>
      </w:tr>
      <w:tr w:rsidR="000D3F7E" w:rsidRPr="00E931C9" w:rsidTr="00D35B01">
        <w:trPr>
          <w:trHeight w:val="284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3F7E" w:rsidRPr="00E931C9" w:rsidRDefault="000D3F7E" w:rsidP="00D35B01">
            <w:pPr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Degree in which you use ICT continuously</w:t>
            </w:r>
          </w:p>
        </w:tc>
        <w:tc>
          <w:tcPr>
            <w:tcW w:w="368" w:type="pct"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R</w:t>
            </w:r>
          </w:p>
        </w:tc>
        <w:tc>
          <w:tcPr>
            <w:tcW w:w="461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0,458</w:t>
            </w:r>
          </w:p>
        </w:tc>
        <w:tc>
          <w:tcPr>
            <w:tcW w:w="565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0,729</w:t>
            </w:r>
          </w:p>
        </w:tc>
        <w:tc>
          <w:tcPr>
            <w:tcW w:w="548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0,302</w:t>
            </w:r>
          </w:p>
        </w:tc>
        <w:tc>
          <w:tcPr>
            <w:tcW w:w="54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0,612</w:t>
            </w:r>
          </w:p>
        </w:tc>
        <w:tc>
          <w:tcPr>
            <w:tcW w:w="439" w:type="pct"/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0,516</w:t>
            </w:r>
          </w:p>
        </w:tc>
        <w:tc>
          <w:tcPr>
            <w:tcW w:w="440" w:type="pct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-0,280</w:t>
            </w:r>
          </w:p>
        </w:tc>
      </w:tr>
      <w:tr w:rsidR="000D3F7E" w:rsidRPr="00E931C9" w:rsidTr="00D35B01">
        <w:trPr>
          <w:trHeight w:val="117"/>
        </w:trPr>
        <w:tc>
          <w:tcPr>
            <w:tcW w:w="380" w:type="pct"/>
            <w:vMerge/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25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D3F7E" w:rsidRPr="00E931C9" w:rsidRDefault="000D3F7E" w:rsidP="00D35B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:rsidR="000D3F7E" w:rsidRPr="00E931C9" w:rsidRDefault="000D3F7E" w:rsidP="00D35B01">
            <w:pPr>
              <w:jc w:val="both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P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0,438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0,162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0,698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0,272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0,373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0D3F7E" w:rsidRPr="00E931C9" w:rsidRDefault="000D3F7E" w:rsidP="00D35B01">
            <w:pPr>
              <w:autoSpaceDE w:val="0"/>
              <w:autoSpaceDN w:val="0"/>
              <w:adjustRightInd w:val="0"/>
              <w:ind w:left="60" w:right="60"/>
              <w:jc w:val="right"/>
              <w:rPr>
                <w:color w:val="000000"/>
                <w:sz w:val="12"/>
                <w:szCs w:val="12"/>
              </w:rPr>
            </w:pPr>
            <w:r w:rsidRPr="00E931C9">
              <w:rPr>
                <w:color w:val="000000"/>
                <w:sz w:val="12"/>
                <w:szCs w:val="12"/>
              </w:rPr>
              <w:t>0,649</w:t>
            </w:r>
          </w:p>
        </w:tc>
      </w:tr>
    </w:tbl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</w:p>
    <w:p w:rsidR="000D3F7E" w:rsidRPr="00E931C9" w:rsidRDefault="000D3F7E" w:rsidP="000D3F7E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0D3F7E" w:rsidRPr="005E6F22" w:rsidRDefault="000D3F7E" w:rsidP="000D3F7E">
      <w:pPr>
        <w:jc w:val="both"/>
        <w:rPr>
          <w:sz w:val="20"/>
          <w:szCs w:val="20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0D3F7E" w:rsidRPr="005E6F22" w:rsidRDefault="000D3F7E" w:rsidP="000D3F7E">
      <w:pPr>
        <w:jc w:val="both"/>
        <w:rPr>
          <w:sz w:val="20"/>
          <w:szCs w:val="20"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7E"/>
    <w:rsid w:val="000D3F7E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0D3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0D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2014-08-12T22:29:00Z</dcterms:created>
  <dcterms:modified xsi:type="dcterms:W3CDTF">2014-08-12T22:29:00Z</dcterms:modified>
</cp:coreProperties>
</file>